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BAF" w:rsidRPr="00426BAF" w:rsidRDefault="00426BAF" w:rsidP="0077171C">
      <w:pPr>
        <w:shd w:val="clear" w:color="auto" w:fill="F6F6F6"/>
        <w:spacing w:before="75" w:after="150" w:line="288" w:lineRule="atLeast"/>
        <w:jc w:val="center"/>
        <w:outlineLvl w:val="0"/>
        <w:rPr>
          <w:rFonts w:ascii="Arial" w:eastAsia="Times New Roman" w:hAnsi="Arial" w:cs="Arial"/>
          <w:b/>
          <w:bCs/>
          <w:color w:val="004F93"/>
          <w:kern w:val="36"/>
          <w:sz w:val="48"/>
          <w:szCs w:val="48"/>
          <w:lang w:eastAsia="en-CA"/>
        </w:rPr>
      </w:pPr>
      <w:r w:rsidRPr="00426BAF">
        <w:rPr>
          <w:rFonts w:ascii="Arial" w:eastAsia="Times New Roman" w:hAnsi="Arial" w:cs="Arial"/>
          <w:b/>
          <w:bCs/>
          <w:color w:val="004F93"/>
          <w:kern w:val="36"/>
          <w:sz w:val="48"/>
          <w:szCs w:val="48"/>
          <w:lang w:eastAsia="en-CA"/>
        </w:rPr>
        <w:t>IT Security Course</w:t>
      </w:r>
    </w:p>
    <w:p w:rsidR="00426BAF" w:rsidRPr="00426BAF" w:rsidRDefault="00426BAF" w:rsidP="00426BAF">
      <w:pPr>
        <w:shd w:val="clear" w:color="auto" w:fill="F6F6F6"/>
        <w:spacing w:after="300" w:line="240" w:lineRule="auto"/>
        <w:jc w:val="center"/>
        <w:rPr>
          <w:rFonts w:ascii="Arial" w:eastAsia="Times New Roman" w:hAnsi="Arial" w:cs="Arial"/>
          <w:color w:val="000000"/>
          <w:sz w:val="26"/>
          <w:szCs w:val="26"/>
          <w:lang w:eastAsia="en-CA"/>
        </w:rPr>
      </w:pPr>
      <w:r w:rsidRPr="00426BAF">
        <w:rPr>
          <w:rFonts w:ascii="Arial" w:eastAsia="Times New Roman" w:hAnsi="Arial" w:cs="Arial"/>
          <w:noProof/>
          <w:color w:val="000000"/>
          <w:sz w:val="26"/>
          <w:szCs w:val="26"/>
          <w:lang w:val="en-US"/>
        </w:rPr>
        <w:drawing>
          <wp:inline distT="0" distB="0" distL="0" distR="0">
            <wp:extent cx="952500" cy="952500"/>
            <wp:effectExtent l="0" t="0" r="0" b="0"/>
            <wp:docPr id="2" name="Picture 2" descr="AFC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CE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26BAF" w:rsidRPr="00426BAF" w:rsidRDefault="00426BAF" w:rsidP="00426BAF">
      <w:pPr>
        <w:shd w:val="clear" w:color="auto" w:fill="F6F6F6"/>
        <w:spacing w:after="0" w:line="240" w:lineRule="auto"/>
        <w:jc w:val="center"/>
        <w:rPr>
          <w:rFonts w:ascii="Arial" w:eastAsia="Times New Roman" w:hAnsi="Arial" w:cs="Arial"/>
          <w:color w:val="000000"/>
          <w:sz w:val="26"/>
          <w:szCs w:val="26"/>
          <w:lang w:eastAsia="en-CA"/>
        </w:rPr>
      </w:pPr>
      <w:r w:rsidRPr="00426BAF">
        <w:rPr>
          <w:rFonts w:ascii="Arial" w:eastAsia="Times New Roman" w:hAnsi="Arial" w:cs="Arial"/>
          <w:b/>
          <w:bCs/>
          <w:color w:val="000000"/>
          <w:sz w:val="21"/>
          <w:szCs w:val="21"/>
          <w:lang w:eastAsia="en-CA"/>
        </w:rPr>
        <w:t>AFCEA Ottawa Chapter</w:t>
      </w:r>
      <w:r w:rsidRPr="00426BAF">
        <w:rPr>
          <w:rFonts w:ascii="Arial" w:eastAsia="Times New Roman" w:hAnsi="Arial" w:cs="Arial"/>
          <w:b/>
          <w:bCs/>
          <w:color w:val="000000"/>
          <w:sz w:val="21"/>
          <w:szCs w:val="21"/>
          <w:lang w:eastAsia="en-CA"/>
        </w:rPr>
        <w:br/>
        <w:t>Annual IT Security Course</w:t>
      </w:r>
    </w:p>
    <w:p w:rsidR="00426BAF" w:rsidRPr="00426BAF" w:rsidRDefault="000627AF" w:rsidP="00426BAF">
      <w:pPr>
        <w:shd w:val="clear" w:color="auto" w:fill="F6F6F6"/>
        <w:spacing w:after="0" w:line="240" w:lineRule="auto"/>
        <w:jc w:val="center"/>
        <w:rPr>
          <w:rFonts w:ascii="Arial" w:eastAsia="Times New Roman" w:hAnsi="Arial" w:cs="Arial"/>
          <w:color w:val="000000"/>
          <w:sz w:val="26"/>
          <w:szCs w:val="26"/>
          <w:lang w:eastAsia="en-CA"/>
        </w:rPr>
      </w:pPr>
      <w:r>
        <w:rPr>
          <w:rFonts w:ascii="Arial" w:eastAsia="Times New Roman" w:hAnsi="Arial" w:cs="Arial"/>
          <w:b/>
          <w:bCs/>
          <w:color w:val="000000"/>
          <w:sz w:val="21"/>
          <w:szCs w:val="21"/>
          <w:lang w:eastAsia="en-CA"/>
        </w:rPr>
        <w:t>November 19 - 23, 2018</w:t>
      </w:r>
    </w:p>
    <w:p w:rsidR="00426BAF" w:rsidRPr="00426BAF" w:rsidRDefault="00426BAF" w:rsidP="00426BAF">
      <w:pPr>
        <w:shd w:val="clear" w:color="auto" w:fill="F6F6F6"/>
        <w:spacing w:after="0" w:line="240" w:lineRule="auto"/>
        <w:jc w:val="center"/>
        <w:rPr>
          <w:rFonts w:ascii="Arial" w:eastAsia="Times New Roman" w:hAnsi="Arial" w:cs="Arial"/>
          <w:color w:val="000000"/>
          <w:sz w:val="26"/>
          <w:szCs w:val="26"/>
          <w:lang w:eastAsia="en-CA"/>
        </w:rPr>
      </w:pPr>
      <w:r w:rsidRPr="00426BAF">
        <w:rPr>
          <w:rFonts w:ascii="Arial" w:eastAsia="Times New Roman" w:hAnsi="Arial" w:cs="Arial"/>
          <w:b/>
          <w:bCs/>
          <w:color w:val="000000"/>
          <w:sz w:val="21"/>
          <w:szCs w:val="21"/>
          <w:lang w:eastAsia="en-CA"/>
        </w:rPr>
        <w:t>Course Sponsor</w:t>
      </w:r>
    </w:p>
    <w:p w:rsidR="00426BAF" w:rsidRPr="00426BAF" w:rsidRDefault="00323A1F" w:rsidP="00426BAF">
      <w:pPr>
        <w:shd w:val="clear" w:color="auto" w:fill="F6F6F6"/>
        <w:spacing w:after="0" w:line="240" w:lineRule="auto"/>
        <w:jc w:val="center"/>
        <w:rPr>
          <w:rFonts w:ascii="Arial" w:eastAsia="Times New Roman" w:hAnsi="Arial" w:cs="Arial"/>
          <w:color w:val="000000"/>
          <w:sz w:val="26"/>
          <w:szCs w:val="26"/>
          <w:lang w:eastAsia="en-CA"/>
        </w:rPr>
      </w:pPr>
      <w:r>
        <w:rPr>
          <w:rFonts w:ascii="Arial" w:eastAsia="Times New Roman" w:hAnsi="Arial" w:cs="Arial"/>
          <w:noProof/>
          <w:color w:val="000000"/>
          <w:sz w:val="26"/>
          <w:szCs w:val="26"/>
          <w:lang w:eastAsia="en-CA"/>
        </w:rPr>
        <w:drawing>
          <wp:inline distT="0" distB="0" distL="0" distR="0">
            <wp:extent cx="1390650" cy="43706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acle.jpg"/>
                    <pic:cNvPicPr/>
                  </pic:nvPicPr>
                  <pic:blipFill rotWithShape="1">
                    <a:blip r:embed="rId6">
                      <a:extLst>
                        <a:ext uri="{28A0092B-C50C-407E-A947-70E740481C1C}">
                          <a14:useLocalDpi xmlns:a14="http://schemas.microsoft.com/office/drawing/2010/main" val="0"/>
                        </a:ext>
                      </a:extLst>
                    </a:blip>
                    <a:srcRect t="39306" r="34457" b="39499"/>
                    <a:stretch/>
                  </pic:blipFill>
                  <pic:spPr bwMode="auto">
                    <a:xfrm>
                      <a:off x="0" y="0"/>
                      <a:ext cx="1411439" cy="443595"/>
                    </a:xfrm>
                    <a:prstGeom prst="rect">
                      <a:avLst/>
                    </a:prstGeom>
                    <a:ln>
                      <a:noFill/>
                    </a:ln>
                    <a:extLst>
                      <a:ext uri="{53640926-AAD7-44D8-BBD7-CCE9431645EC}">
                        <a14:shadowObscured xmlns:a14="http://schemas.microsoft.com/office/drawing/2010/main"/>
                      </a:ext>
                    </a:extLst>
                  </pic:spPr>
                </pic:pic>
              </a:graphicData>
            </a:graphic>
          </wp:inline>
        </w:drawing>
      </w:r>
    </w:p>
    <w:p w:rsidR="00426BAF" w:rsidRPr="00426BAF" w:rsidRDefault="00426BAF" w:rsidP="00D04B8D">
      <w:pPr>
        <w:shd w:val="clear" w:color="auto" w:fill="F6F6F6"/>
        <w:spacing w:after="300" w:line="240" w:lineRule="auto"/>
        <w:jc w:val="center"/>
        <w:rPr>
          <w:rFonts w:ascii="Arial" w:eastAsia="Times New Roman" w:hAnsi="Arial" w:cs="Arial"/>
          <w:color w:val="000000"/>
          <w:sz w:val="26"/>
          <w:szCs w:val="26"/>
          <w:lang w:eastAsia="en-CA"/>
        </w:rPr>
      </w:pPr>
      <w:r w:rsidRPr="00426BAF">
        <w:rPr>
          <w:rFonts w:ascii="Arial" w:eastAsia="Times New Roman" w:hAnsi="Arial" w:cs="Arial"/>
          <w:color w:val="000000"/>
          <w:sz w:val="26"/>
          <w:szCs w:val="26"/>
          <w:lang w:eastAsia="en-CA"/>
        </w:rPr>
        <w:t> </w:t>
      </w:r>
    </w:p>
    <w:tbl>
      <w:tblPr>
        <w:tblW w:w="5000" w:type="pct"/>
        <w:tblCellMar>
          <w:left w:w="0" w:type="dxa"/>
          <w:right w:w="0" w:type="dxa"/>
        </w:tblCellMar>
        <w:tblLook w:val="04A0" w:firstRow="1" w:lastRow="0" w:firstColumn="1" w:lastColumn="0" w:noHBand="0" w:noVBand="1"/>
      </w:tblPr>
      <w:tblGrid>
        <w:gridCol w:w="1924"/>
        <w:gridCol w:w="7436"/>
      </w:tblGrid>
      <w:tr w:rsidR="00426BAF" w:rsidRPr="00D04B8D" w:rsidTr="003A2BBD">
        <w:tc>
          <w:tcPr>
            <w:tcW w:w="1028" w:type="pct"/>
            <w:tcMar>
              <w:top w:w="75" w:type="dxa"/>
              <w:left w:w="75" w:type="dxa"/>
              <w:bottom w:w="75" w:type="dxa"/>
              <w:right w:w="75" w:type="dxa"/>
            </w:tcMar>
            <w:hideMark/>
          </w:tcPr>
          <w:p w:rsidR="00426BAF" w:rsidRPr="00D04B8D" w:rsidRDefault="00426BAF" w:rsidP="00426BAF">
            <w:pPr>
              <w:spacing w:after="0" w:line="240" w:lineRule="auto"/>
              <w:rPr>
                <w:rFonts w:eastAsia="Times New Roman" w:cs="Times New Roman"/>
                <w:sz w:val="24"/>
                <w:szCs w:val="24"/>
                <w:lang w:eastAsia="en-CA"/>
              </w:rPr>
            </w:pPr>
            <w:r w:rsidRPr="00D04B8D">
              <w:rPr>
                <w:rFonts w:eastAsia="Times New Roman" w:cs="Times New Roman"/>
                <w:b/>
                <w:bCs/>
                <w:color w:val="000000"/>
                <w:sz w:val="24"/>
                <w:szCs w:val="24"/>
                <w:lang w:eastAsia="en-CA"/>
              </w:rPr>
              <w:t>Dates</w:t>
            </w:r>
          </w:p>
        </w:tc>
        <w:tc>
          <w:tcPr>
            <w:tcW w:w="3972" w:type="pct"/>
            <w:tcMar>
              <w:top w:w="75" w:type="dxa"/>
              <w:left w:w="75" w:type="dxa"/>
              <w:bottom w:w="75" w:type="dxa"/>
              <w:right w:w="75" w:type="dxa"/>
            </w:tcMar>
            <w:hideMark/>
          </w:tcPr>
          <w:p w:rsidR="00426BAF" w:rsidRPr="00D04B8D" w:rsidRDefault="00DF103A" w:rsidP="00426BAF">
            <w:pPr>
              <w:spacing w:after="0" w:line="240" w:lineRule="auto"/>
              <w:rPr>
                <w:rFonts w:eastAsia="Times New Roman" w:cs="Times New Roman"/>
                <w:sz w:val="24"/>
                <w:szCs w:val="24"/>
                <w:lang w:eastAsia="en-CA"/>
              </w:rPr>
            </w:pPr>
            <w:r w:rsidRPr="00D04B8D">
              <w:rPr>
                <w:rFonts w:eastAsia="Times New Roman" w:cs="Times New Roman"/>
                <w:sz w:val="24"/>
                <w:szCs w:val="24"/>
                <w:lang w:eastAsia="en-CA"/>
              </w:rPr>
              <w:t xml:space="preserve">November </w:t>
            </w:r>
            <w:r w:rsidR="000627AF">
              <w:rPr>
                <w:rFonts w:eastAsia="Times New Roman" w:cs="Times New Roman"/>
                <w:sz w:val="24"/>
                <w:szCs w:val="24"/>
                <w:lang w:eastAsia="en-CA"/>
              </w:rPr>
              <w:t>19</w:t>
            </w:r>
            <w:r w:rsidRPr="00D04B8D">
              <w:rPr>
                <w:rFonts w:eastAsia="Times New Roman" w:cs="Times New Roman"/>
                <w:sz w:val="24"/>
                <w:szCs w:val="24"/>
                <w:lang w:eastAsia="en-CA"/>
              </w:rPr>
              <w:t xml:space="preserve"> - 2</w:t>
            </w:r>
            <w:r w:rsidR="000627AF">
              <w:rPr>
                <w:rFonts w:eastAsia="Times New Roman" w:cs="Times New Roman"/>
                <w:sz w:val="24"/>
                <w:szCs w:val="24"/>
                <w:lang w:eastAsia="en-CA"/>
              </w:rPr>
              <w:t>3</w:t>
            </w:r>
            <w:r w:rsidRPr="00D04B8D">
              <w:rPr>
                <w:rFonts w:eastAsia="Times New Roman" w:cs="Times New Roman"/>
                <w:sz w:val="24"/>
                <w:szCs w:val="24"/>
                <w:lang w:eastAsia="en-CA"/>
              </w:rPr>
              <w:t>, 2017</w:t>
            </w:r>
          </w:p>
        </w:tc>
      </w:tr>
      <w:tr w:rsidR="00426BAF" w:rsidRPr="00D04B8D" w:rsidTr="003A2BBD">
        <w:tc>
          <w:tcPr>
            <w:tcW w:w="1028" w:type="pct"/>
            <w:tcMar>
              <w:top w:w="75" w:type="dxa"/>
              <w:left w:w="75" w:type="dxa"/>
              <w:bottom w:w="75" w:type="dxa"/>
              <w:right w:w="75" w:type="dxa"/>
            </w:tcMar>
            <w:hideMark/>
          </w:tcPr>
          <w:p w:rsidR="00426BAF" w:rsidRPr="00D04B8D" w:rsidRDefault="00426BAF" w:rsidP="00426BAF">
            <w:pPr>
              <w:spacing w:after="0" w:line="240" w:lineRule="auto"/>
              <w:rPr>
                <w:rFonts w:eastAsia="Times New Roman" w:cs="Times New Roman"/>
                <w:sz w:val="24"/>
                <w:szCs w:val="24"/>
                <w:lang w:eastAsia="en-CA"/>
              </w:rPr>
            </w:pPr>
            <w:r w:rsidRPr="00D04B8D">
              <w:rPr>
                <w:rFonts w:eastAsia="Times New Roman" w:cs="Times New Roman"/>
                <w:b/>
                <w:bCs/>
                <w:color w:val="000000"/>
                <w:sz w:val="24"/>
                <w:szCs w:val="24"/>
                <w:lang w:eastAsia="en-CA"/>
              </w:rPr>
              <w:t>Event Details</w:t>
            </w:r>
          </w:p>
        </w:tc>
        <w:tc>
          <w:tcPr>
            <w:tcW w:w="3972" w:type="pct"/>
            <w:tcMar>
              <w:top w:w="75" w:type="dxa"/>
              <w:left w:w="75" w:type="dxa"/>
              <w:bottom w:w="75" w:type="dxa"/>
              <w:right w:w="75" w:type="dxa"/>
            </w:tcMar>
            <w:hideMark/>
          </w:tcPr>
          <w:p w:rsidR="00426BAF" w:rsidRPr="00D04B8D" w:rsidRDefault="00426BAF" w:rsidP="00426BAF">
            <w:pPr>
              <w:spacing w:after="0" w:line="240" w:lineRule="auto"/>
              <w:rPr>
                <w:rFonts w:eastAsia="Times New Roman" w:cs="Times New Roman"/>
                <w:sz w:val="24"/>
                <w:szCs w:val="24"/>
                <w:lang w:eastAsia="en-CA"/>
              </w:rPr>
            </w:pPr>
            <w:r w:rsidRPr="00D04B8D">
              <w:rPr>
                <w:rFonts w:eastAsia="Times New Roman" w:cs="Times New Roman"/>
                <w:sz w:val="24"/>
                <w:szCs w:val="24"/>
                <w:lang w:eastAsia="en-CA"/>
              </w:rPr>
              <w:t>The cours</w:t>
            </w:r>
            <w:r w:rsidR="00DF103A" w:rsidRPr="00D04B8D">
              <w:rPr>
                <w:rFonts w:eastAsia="Times New Roman" w:cs="Times New Roman"/>
                <w:sz w:val="24"/>
                <w:szCs w:val="24"/>
                <w:lang w:eastAsia="en-CA"/>
              </w:rPr>
              <w:t>e runs for four and a half days. T</w:t>
            </w:r>
            <w:r w:rsidRPr="00D04B8D">
              <w:rPr>
                <w:rFonts w:eastAsia="Times New Roman" w:cs="Times New Roman"/>
                <w:sz w:val="24"/>
                <w:szCs w:val="24"/>
                <w:lang w:eastAsia="en-CA"/>
              </w:rPr>
              <w:t>he course curriculum is based on security issues relevant to today’s business. The purpose of the course is not to promote specific security companies or products but to enhance security knowledge.</w:t>
            </w:r>
          </w:p>
        </w:tc>
      </w:tr>
      <w:tr w:rsidR="00426BAF" w:rsidRPr="00D04B8D" w:rsidTr="003A2BBD">
        <w:tc>
          <w:tcPr>
            <w:tcW w:w="1028" w:type="pct"/>
            <w:tcMar>
              <w:top w:w="75" w:type="dxa"/>
              <w:left w:w="75" w:type="dxa"/>
              <w:bottom w:w="75" w:type="dxa"/>
              <w:right w:w="75" w:type="dxa"/>
            </w:tcMar>
            <w:hideMark/>
          </w:tcPr>
          <w:p w:rsidR="00426BAF" w:rsidRPr="00D04B8D" w:rsidRDefault="00426BAF" w:rsidP="00426BAF">
            <w:pPr>
              <w:spacing w:after="0" w:line="240" w:lineRule="auto"/>
              <w:rPr>
                <w:rFonts w:eastAsia="Times New Roman" w:cs="Times New Roman"/>
                <w:sz w:val="24"/>
                <w:szCs w:val="24"/>
                <w:lang w:eastAsia="en-CA"/>
              </w:rPr>
            </w:pPr>
            <w:r w:rsidRPr="00D04B8D">
              <w:rPr>
                <w:rFonts w:eastAsia="Times New Roman" w:cs="Times New Roman"/>
                <w:b/>
                <w:bCs/>
                <w:color w:val="000000"/>
                <w:sz w:val="24"/>
                <w:szCs w:val="24"/>
                <w:lang w:eastAsia="en-CA"/>
              </w:rPr>
              <w:t xml:space="preserve">Benefits </w:t>
            </w:r>
            <w:r w:rsidR="00241499" w:rsidRPr="00D04B8D">
              <w:rPr>
                <w:rFonts w:eastAsia="Times New Roman" w:cs="Times New Roman"/>
                <w:b/>
                <w:bCs/>
                <w:color w:val="000000"/>
                <w:sz w:val="24"/>
                <w:szCs w:val="24"/>
                <w:lang w:eastAsia="en-CA"/>
              </w:rPr>
              <w:t>of</w:t>
            </w:r>
            <w:r w:rsidRPr="00D04B8D">
              <w:rPr>
                <w:rFonts w:eastAsia="Times New Roman" w:cs="Times New Roman"/>
                <w:b/>
                <w:bCs/>
                <w:color w:val="000000"/>
                <w:sz w:val="24"/>
                <w:szCs w:val="24"/>
                <w:lang w:eastAsia="en-CA"/>
              </w:rPr>
              <w:t xml:space="preserve"> Attending</w:t>
            </w:r>
          </w:p>
        </w:tc>
        <w:tc>
          <w:tcPr>
            <w:tcW w:w="3972" w:type="pct"/>
            <w:tcMar>
              <w:top w:w="75" w:type="dxa"/>
              <w:left w:w="75" w:type="dxa"/>
              <w:bottom w:w="75" w:type="dxa"/>
              <w:right w:w="75" w:type="dxa"/>
            </w:tcMar>
            <w:hideMark/>
          </w:tcPr>
          <w:p w:rsidR="00426BAF" w:rsidRPr="00D04B8D" w:rsidRDefault="00426BAF" w:rsidP="00426BAF">
            <w:pPr>
              <w:numPr>
                <w:ilvl w:val="0"/>
                <w:numId w:val="1"/>
              </w:numPr>
              <w:spacing w:after="0" w:line="240" w:lineRule="auto"/>
              <w:ind w:left="360"/>
              <w:rPr>
                <w:rFonts w:eastAsia="Times New Roman" w:cs="Times New Roman"/>
                <w:sz w:val="24"/>
                <w:szCs w:val="24"/>
                <w:lang w:eastAsia="en-CA"/>
              </w:rPr>
            </w:pPr>
            <w:r w:rsidRPr="00D04B8D">
              <w:rPr>
                <w:rFonts w:eastAsia="Times New Roman" w:cs="Times New Roman"/>
                <w:sz w:val="24"/>
                <w:szCs w:val="24"/>
                <w:lang w:eastAsia="en-CA"/>
              </w:rPr>
              <w:t>Cover current and relevant IT Security topics from Cloud and Mobile Computing to Forensics Analysis and Wireless Security to Facilitated Risk Assessment and IT Legal Issues.</w:t>
            </w:r>
          </w:p>
          <w:p w:rsidR="00426BAF" w:rsidRPr="00D04B8D" w:rsidRDefault="00426BAF" w:rsidP="00426BAF">
            <w:pPr>
              <w:numPr>
                <w:ilvl w:val="0"/>
                <w:numId w:val="1"/>
              </w:numPr>
              <w:spacing w:after="0" w:line="240" w:lineRule="auto"/>
              <w:ind w:left="360"/>
              <w:rPr>
                <w:rFonts w:eastAsia="Times New Roman" w:cs="Times New Roman"/>
                <w:sz w:val="24"/>
                <w:szCs w:val="24"/>
                <w:lang w:eastAsia="en-CA"/>
              </w:rPr>
            </w:pPr>
            <w:r w:rsidRPr="00D04B8D">
              <w:rPr>
                <w:rFonts w:eastAsia="Times New Roman" w:cs="Times New Roman"/>
                <w:sz w:val="24"/>
                <w:szCs w:val="24"/>
                <w:lang w:eastAsia="en-CA"/>
              </w:rPr>
              <w:t>Learn Threat and Risk Assessment from the inside out with a case study showing what others have done and the lessons they have learned</w:t>
            </w:r>
          </w:p>
          <w:p w:rsidR="00426BAF" w:rsidRPr="00D04B8D" w:rsidRDefault="00426BAF" w:rsidP="00426BAF">
            <w:pPr>
              <w:numPr>
                <w:ilvl w:val="0"/>
                <w:numId w:val="1"/>
              </w:numPr>
              <w:spacing w:after="0" w:line="240" w:lineRule="auto"/>
              <w:ind w:left="360"/>
              <w:rPr>
                <w:rFonts w:eastAsia="Times New Roman" w:cs="Times New Roman"/>
                <w:sz w:val="24"/>
                <w:szCs w:val="24"/>
                <w:lang w:eastAsia="en-CA"/>
              </w:rPr>
            </w:pPr>
            <w:r w:rsidRPr="00D04B8D">
              <w:rPr>
                <w:rFonts w:eastAsia="Times New Roman" w:cs="Times New Roman"/>
                <w:sz w:val="24"/>
                <w:szCs w:val="24"/>
                <w:lang w:eastAsia="en-CA"/>
              </w:rPr>
              <w:t>Interacting and Networking with leaders in the IT Security Community</w:t>
            </w:r>
          </w:p>
          <w:p w:rsidR="00426BAF" w:rsidRPr="00D04B8D" w:rsidRDefault="00426BAF" w:rsidP="00426BAF">
            <w:pPr>
              <w:numPr>
                <w:ilvl w:val="0"/>
                <w:numId w:val="1"/>
              </w:numPr>
              <w:spacing w:after="0" w:line="240" w:lineRule="auto"/>
              <w:ind w:left="360"/>
              <w:rPr>
                <w:rFonts w:eastAsia="Times New Roman" w:cs="Times New Roman"/>
                <w:sz w:val="24"/>
                <w:szCs w:val="24"/>
                <w:lang w:eastAsia="en-CA"/>
              </w:rPr>
            </w:pPr>
            <w:r w:rsidRPr="00D04B8D">
              <w:rPr>
                <w:rFonts w:eastAsia="Times New Roman" w:cs="Times New Roman"/>
                <w:sz w:val="24"/>
                <w:szCs w:val="24"/>
                <w:lang w:eastAsia="en-CA"/>
              </w:rPr>
              <w:t>30 Continued Professional Education (CPE) credits for CISSP Certification</w:t>
            </w:r>
          </w:p>
          <w:p w:rsidR="00426BAF" w:rsidRPr="00D04B8D" w:rsidRDefault="00426BAF" w:rsidP="00426BAF">
            <w:pPr>
              <w:numPr>
                <w:ilvl w:val="0"/>
                <w:numId w:val="1"/>
              </w:numPr>
              <w:spacing w:after="0" w:line="240" w:lineRule="auto"/>
              <w:ind w:left="360"/>
              <w:rPr>
                <w:rFonts w:eastAsia="Times New Roman" w:cs="Times New Roman"/>
                <w:sz w:val="24"/>
                <w:szCs w:val="24"/>
                <w:lang w:eastAsia="en-CA"/>
              </w:rPr>
            </w:pPr>
            <w:r w:rsidRPr="00D04B8D">
              <w:rPr>
                <w:rFonts w:eastAsia="Times New Roman" w:cs="Times New Roman"/>
                <w:sz w:val="24"/>
                <w:szCs w:val="24"/>
                <w:lang w:eastAsia="en-CA"/>
              </w:rPr>
              <w:t>Learn about what additional Training and Resources are available to assist organizations</w:t>
            </w:r>
          </w:p>
        </w:tc>
      </w:tr>
      <w:tr w:rsidR="00426BAF" w:rsidRPr="00D04B8D" w:rsidTr="003A2BBD">
        <w:tc>
          <w:tcPr>
            <w:tcW w:w="1028" w:type="pct"/>
            <w:tcMar>
              <w:top w:w="75" w:type="dxa"/>
              <w:left w:w="75" w:type="dxa"/>
              <w:bottom w:w="75" w:type="dxa"/>
              <w:right w:w="75" w:type="dxa"/>
            </w:tcMar>
            <w:hideMark/>
          </w:tcPr>
          <w:p w:rsidR="00426BAF" w:rsidRPr="00D04B8D" w:rsidRDefault="00426BAF" w:rsidP="00426BAF">
            <w:pPr>
              <w:spacing w:after="0" w:line="240" w:lineRule="auto"/>
              <w:rPr>
                <w:rFonts w:eastAsia="Times New Roman" w:cs="Times New Roman"/>
                <w:sz w:val="24"/>
                <w:szCs w:val="24"/>
                <w:lang w:eastAsia="en-CA"/>
              </w:rPr>
            </w:pPr>
            <w:r w:rsidRPr="00D04B8D">
              <w:rPr>
                <w:rFonts w:eastAsia="Times New Roman" w:cs="Times New Roman"/>
                <w:b/>
                <w:bCs/>
                <w:color w:val="000000"/>
                <w:sz w:val="24"/>
                <w:szCs w:val="24"/>
                <w:lang w:eastAsia="en-CA"/>
              </w:rPr>
              <w:t>Technical Level</w:t>
            </w:r>
          </w:p>
        </w:tc>
        <w:tc>
          <w:tcPr>
            <w:tcW w:w="3972" w:type="pct"/>
            <w:tcMar>
              <w:top w:w="75" w:type="dxa"/>
              <w:left w:w="75" w:type="dxa"/>
              <w:bottom w:w="75" w:type="dxa"/>
              <w:right w:w="75" w:type="dxa"/>
            </w:tcMar>
            <w:hideMark/>
          </w:tcPr>
          <w:p w:rsidR="00426BAF" w:rsidRPr="00D04B8D" w:rsidRDefault="00426BAF" w:rsidP="00426BAF">
            <w:pPr>
              <w:spacing w:after="0" w:line="240" w:lineRule="auto"/>
              <w:rPr>
                <w:rFonts w:eastAsia="Times New Roman" w:cs="Times New Roman"/>
                <w:sz w:val="24"/>
                <w:szCs w:val="24"/>
                <w:lang w:eastAsia="en-CA"/>
              </w:rPr>
            </w:pPr>
            <w:r w:rsidRPr="00D04B8D">
              <w:rPr>
                <w:rFonts w:eastAsia="Times New Roman" w:cs="Times New Roman"/>
                <w:sz w:val="24"/>
                <w:szCs w:val="24"/>
                <w:lang w:eastAsia="en-CA"/>
              </w:rPr>
              <w:t>The course is intended for an audience with a background in Information Technology but not necessarily in-depth knowledge in IT Security</w:t>
            </w:r>
          </w:p>
        </w:tc>
      </w:tr>
      <w:tr w:rsidR="00426BAF" w:rsidRPr="00D04B8D" w:rsidTr="003A2BBD">
        <w:tc>
          <w:tcPr>
            <w:tcW w:w="1028" w:type="pct"/>
            <w:tcMar>
              <w:top w:w="75" w:type="dxa"/>
              <w:left w:w="75" w:type="dxa"/>
              <w:bottom w:w="75" w:type="dxa"/>
              <w:right w:w="75" w:type="dxa"/>
            </w:tcMar>
            <w:hideMark/>
          </w:tcPr>
          <w:p w:rsidR="00426BAF" w:rsidRPr="00D04B8D" w:rsidRDefault="00426BAF" w:rsidP="00426BAF">
            <w:pPr>
              <w:spacing w:after="0" w:line="240" w:lineRule="auto"/>
              <w:rPr>
                <w:rFonts w:eastAsia="Times New Roman" w:cs="Times New Roman"/>
                <w:sz w:val="24"/>
                <w:szCs w:val="24"/>
                <w:lang w:eastAsia="en-CA"/>
              </w:rPr>
            </w:pPr>
            <w:r w:rsidRPr="00D04B8D">
              <w:rPr>
                <w:rFonts w:eastAsia="Times New Roman" w:cs="Times New Roman"/>
                <w:b/>
                <w:bCs/>
                <w:color w:val="000000"/>
                <w:sz w:val="24"/>
                <w:szCs w:val="24"/>
                <w:lang w:eastAsia="en-CA"/>
              </w:rPr>
              <w:t>Who Should Attend</w:t>
            </w:r>
          </w:p>
        </w:tc>
        <w:tc>
          <w:tcPr>
            <w:tcW w:w="3972" w:type="pct"/>
            <w:tcMar>
              <w:top w:w="75" w:type="dxa"/>
              <w:left w:w="75" w:type="dxa"/>
              <w:bottom w:w="75" w:type="dxa"/>
              <w:right w:w="75" w:type="dxa"/>
            </w:tcMar>
            <w:hideMark/>
          </w:tcPr>
          <w:p w:rsidR="00426BAF" w:rsidRPr="00D04B8D" w:rsidRDefault="00426BAF" w:rsidP="00426BAF">
            <w:pPr>
              <w:spacing w:after="0" w:line="240" w:lineRule="auto"/>
              <w:rPr>
                <w:rFonts w:eastAsia="Times New Roman" w:cs="Times New Roman"/>
                <w:sz w:val="24"/>
                <w:szCs w:val="24"/>
                <w:lang w:eastAsia="en-CA"/>
              </w:rPr>
            </w:pPr>
            <w:r w:rsidRPr="00D04B8D">
              <w:rPr>
                <w:rFonts w:eastAsia="Times New Roman" w:cs="Times New Roman"/>
                <w:sz w:val="24"/>
                <w:szCs w:val="24"/>
                <w:lang w:eastAsia="en-CA"/>
              </w:rPr>
              <w:t>The Government of Canada Information Technology Security (ITS) community view this course as a useful ITS training and awareness aid. You should attend if you are in Government or the Private Sector and are mandated to deal with information security issues. You should possess an introductory level of knowledge in information technology (Networking, Computers, Telecommunications, etc.) to truly benefit from the course.</w:t>
            </w:r>
          </w:p>
        </w:tc>
      </w:tr>
      <w:tr w:rsidR="00426BAF" w:rsidRPr="00D04B8D" w:rsidTr="003A2BBD">
        <w:tc>
          <w:tcPr>
            <w:tcW w:w="1028" w:type="pct"/>
            <w:tcMar>
              <w:top w:w="75" w:type="dxa"/>
              <w:left w:w="75" w:type="dxa"/>
              <w:bottom w:w="75" w:type="dxa"/>
              <w:right w:w="75" w:type="dxa"/>
            </w:tcMar>
            <w:hideMark/>
          </w:tcPr>
          <w:p w:rsidR="00426BAF" w:rsidRPr="00D04B8D" w:rsidRDefault="00426BAF" w:rsidP="00426BAF">
            <w:pPr>
              <w:spacing w:after="0" w:line="240" w:lineRule="auto"/>
              <w:rPr>
                <w:rFonts w:eastAsia="Times New Roman" w:cs="Times New Roman"/>
                <w:sz w:val="24"/>
                <w:szCs w:val="24"/>
                <w:lang w:eastAsia="en-CA"/>
              </w:rPr>
            </w:pPr>
            <w:r w:rsidRPr="00D04B8D">
              <w:rPr>
                <w:rFonts w:eastAsia="Times New Roman" w:cs="Times New Roman"/>
                <w:b/>
                <w:bCs/>
                <w:color w:val="000000"/>
                <w:sz w:val="24"/>
                <w:szCs w:val="24"/>
                <w:lang w:eastAsia="en-CA"/>
              </w:rPr>
              <w:lastRenderedPageBreak/>
              <w:t>Topics</w:t>
            </w:r>
          </w:p>
        </w:tc>
        <w:tc>
          <w:tcPr>
            <w:tcW w:w="3972" w:type="pct"/>
            <w:tcMar>
              <w:top w:w="75" w:type="dxa"/>
              <w:left w:w="75" w:type="dxa"/>
              <w:bottom w:w="75" w:type="dxa"/>
              <w:right w:w="75" w:type="dxa"/>
            </w:tcMar>
            <w:hideMark/>
          </w:tcPr>
          <w:p w:rsidR="00F30CAB" w:rsidRPr="000627AF" w:rsidRDefault="00F30CAB" w:rsidP="00426BAF">
            <w:pPr>
              <w:numPr>
                <w:ilvl w:val="0"/>
                <w:numId w:val="2"/>
              </w:numPr>
              <w:spacing w:after="0" w:line="240" w:lineRule="auto"/>
              <w:ind w:left="360"/>
              <w:rPr>
                <w:rFonts w:eastAsia="Times New Roman" w:cs="Times New Roman"/>
                <w:lang w:eastAsia="en-CA"/>
              </w:rPr>
            </w:pPr>
            <w:r w:rsidRPr="000627AF">
              <w:rPr>
                <w:rFonts w:eastAsia="Times New Roman" w:cs="Times New Roman"/>
                <w:b/>
                <w:lang w:eastAsia="en-CA"/>
              </w:rPr>
              <w:t>TRA Case Study</w:t>
            </w:r>
            <w:r w:rsidRPr="000627AF">
              <w:rPr>
                <w:rFonts w:eastAsia="Times New Roman" w:cs="Times New Roman"/>
                <w:lang w:eastAsia="en-CA"/>
              </w:rPr>
              <w:t xml:space="preserve"> </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Security Risk Management</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Privacy Issues</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IT Legal Issues</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Threat Briefing</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Policy on Government Security &amp; Organization and Administration Security</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Physical Security</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Personnel Security</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Defence in Depth</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IT Security Technical Safeguards</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IP Convergence Security</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Internet Security</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Cryptographic Security and PKI</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IT and Cryptographic Assurance</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Network/Host Security Design</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Security Standards</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Mobile Computing Security</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Cloud Computing Security and Virtualization Security</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Security Incident and Event Management (SIEM)</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Identity and Access Management</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Vulnerability Assessment</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EMSEC, TRANSEC</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Certification and Accreditation</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ITS Forensics</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Intro to ITSG-33</w:t>
            </w:r>
          </w:p>
          <w:p w:rsidR="00426BAF" w:rsidRPr="000627AF" w:rsidRDefault="00426BAF" w:rsidP="00426BAF">
            <w:pPr>
              <w:numPr>
                <w:ilvl w:val="0"/>
                <w:numId w:val="2"/>
              </w:numPr>
              <w:spacing w:after="0" w:line="240" w:lineRule="auto"/>
              <w:ind w:left="360"/>
              <w:rPr>
                <w:rFonts w:eastAsia="Times New Roman" w:cs="Times New Roman"/>
                <w:lang w:eastAsia="en-CA"/>
              </w:rPr>
            </w:pPr>
            <w:r w:rsidRPr="000627AF">
              <w:rPr>
                <w:rFonts w:eastAsia="Times New Roman" w:cs="Times New Roman"/>
                <w:lang w:eastAsia="en-CA"/>
              </w:rPr>
              <w:t>Biometrics</w:t>
            </w:r>
          </w:p>
          <w:p w:rsidR="00426BAF" w:rsidRPr="00F30CAB" w:rsidRDefault="00426BAF" w:rsidP="00F30CAB">
            <w:pPr>
              <w:numPr>
                <w:ilvl w:val="0"/>
                <w:numId w:val="2"/>
              </w:numPr>
              <w:spacing w:after="0" w:line="240" w:lineRule="auto"/>
              <w:ind w:left="360"/>
              <w:rPr>
                <w:rFonts w:eastAsia="Times New Roman" w:cs="Times New Roman"/>
                <w:sz w:val="24"/>
                <w:szCs w:val="24"/>
                <w:lang w:eastAsia="en-CA"/>
              </w:rPr>
            </w:pPr>
            <w:r w:rsidRPr="000627AF">
              <w:rPr>
                <w:rFonts w:eastAsia="Times New Roman" w:cs="Times New Roman"/>
                <w:lang w:eastAsia="en-CA"/>
              </w:rPr>
              <w:t>ITS training Options</w:t>
            </w:r>
          </w:p>
        </w:tc>
      </w:tr>
      <w:tr w:rsidR="00426BAF" w:rsidRPr="00D04B8D" w:rsidTr="003A2BBD">
        <w:tc>
          <w:tcPr>
            <w:tcW w:w="1028" w:type="pct"/>
            <w:tcMar>
              <w:top w:w="75" w:type="dxa"/>
              <w:left w:w="75" w:type="dxa"/>
              <w:bottom w:w="75" w:type="dxa"/>
              <w:right w:w="75" w:type="dxa"/>
            </w:tcMar>
            <w:hideMark/>
          </w:tcPr>
          <w:p w:rsidR="00426BAF" w:rsidRPr="00D04B8D" w:rsidRDefault="00426BAF" w:rsidP="00426BAF">
            <w:pPr>
              <w:spacing w:after="0" w:line="240" w:lineRule="auto"/>
              <w:rPr>
                <w:rFonts w:eastAsia="Times New Roman" w:cs="Times New Roman"/>
                <w:sz w:val="24"/>
                <w:szCs w:val="24"/>
                <w:lang w:eastAsia="en-CA"/>
              </w:rPr>
            </w:pPr>
            <w:r w:rsidRPr="00D04B8D">
              <w:rPr>
                <w:rFonts w:eastAsia="Times New Roman" w:cs="Times New Roman"/>
                <w:b/>
                <w:bCs/>
                <w:color w:val="000000"/>
                <w:sz w:val="24"/>
                <w:szCs w:val="24"/>
                <w:lang w:eastAsia="en-CA"/>
              </w:rPr>
              <w:t>Cost</w:t>
            </w:r>
          </w:p>
        </w:tc>
        <w:tc>
          <w:tcPr>
            <w:tcW w:w="3972" w:type="pct"/>
            <w:tcMar>
              <w:top w:w="75" w:type="dxa"/>
              <w:left w:w="75" w:type="dxa"/>
              <w:bottom w:w="75" w:type="dxa"/>
              <w:right w:w="75" w:type="dxa"/>
            </w:tcMar>
            <w:hideMark/>
          </w:tcPr>
          <w:p w:rsidR="00426BAF" w:rsidRPr="00D04B8D" w:rsidRDefault="00D67C9D" w:rsidP="000627AF">
            <w:pPr>
              <w:spacing w:after="0" w:line="240" w:lineRule="auto"/>
              <w:ind w:right="-250"/>
              <w:rPr>
                <w:rFonts w:eastAsia="Times New Roman" w:cs="Times New Roman"/>
                <w:sz w:val="24"/>
                <w:szCs w:val="24"/>
                <w:lang w:eastAsia="en-CA"/>
              </w:rPr>
            </w:pPr>
            <w:r>
              <w:rPr>
                <w:rFonts w:eastAsia="Times New Roman" w:cs="Times New Roman"/>
                <w:sz w:val="24"/>
                <w:szCs w:val="24"/>
                <w:lang w:eastAsia="en-CA"/>
              </w:rPr>
              <w:t>The cost is $1,925.0</w:t>
            </w:r>
            <w:r w:rsidR="000E0E3B">
              <w:rPr>
                <w:rFonts w:eastAsia="Times New Roman" w:cs="Times New Roman"/>
                <w:sz w:val="24"/>
                <w:szCs w:val="24"/>
                <w:lang w:eastAsia="en-CA"/>
              </w:rPr>
              <w:t>0</w:t>
            </w:r>
            <w:r w:rsidR="00317677">
              <w:rPr>
                <w:rFonts w:eastAsia="Times New Roman" w:cs="Times New Roman"/>
                <w:sz w:val="24"/>
                <w:szCs w:val="24"/>
                <w:lang w:eastAsia="en-CA"/>
              </w:rPr>
              <w:t xml:space="preserve"> for members ($2,175</w:t>
            </w:r>
            <w:r w:rsidR="000E0E3B">
              <w:rPr>
                <w:rFonts w:eastAsia="Times New Roman" w:cs="Times New Roman"/>
                <w:sz w:val="24"/>
                <w:szCs w:val="24"/>
                <w:lang w:eastAsia="en-CA"/>
              </w:rPr>
              <w:t>.25</w:t>
            </w:r>
            <w:r w:rsidR="00317677">
              <w:rPr>
                <w:rFonts w:eastAsia="Times New Roman" w:cs="Times New Roman"/>
                <w:sz w:val="24"/>
                <w:szCs w:val="24"/>
                <w:lang w:eastAsia="en-CA"/>
              </w:rPr>
              <w:t xml:space="preserve"> for non-members) </w:t>
            </w:r>
            <w:r w:rsidR="00426BAF" w:rsidRPr="00D04B8D">
              <w:rPr>
                <w:rFonts w:eastAsia="Times New Roman" w:cs="Times New Roman"/>
                <w:sz w:val="24"/>
                <w:szCs w:val="24"/>
                <w:lang w:eastAsia="en-CA"/>
              </w:rPr>
              <w:t>which covers</w:t>
            </w:r>
            <w:r w:rsidR="00317677">
              <w:rPr>
                <w:rFonts w:eastAsia="Times New Roman" w:cs="Times New Roman"/>
                <w:sz w:val="24"/>
                <w:szCs w:val="24"/>
                <w:lang w:eastAsia="en-CA"/>
              </w:rPr>
              <w:t xml:space="preserve"> GST,</w:t>
            </w:r>
            <w:r w:rsidR="00426BAF" w:rsidRPr="00D04B8D">
              <w:rPr>
                <w:rFonts w:eastAsia="Times New Roman" w:cs="Times New Roman"/>
                <w:sz w:val="24"/>
                <w:szCs w:val="24"/>
                <w:lang w:eastAsia="en-CA"/>
              </w:rPr>
              <w:t xml:space="preserve"> all course material, continental breakfast, lunch</w:t>
            </w:r>
            <w:r w:rsidR="007E42E2">
              <w:rPr>
                <w:rFonts w:eastAsia="Times New Roman" w:cs="Times New Roman"/>
                <w:sz w:val="24"/>
                <w:szCs w:val="24"/>
                <w:lang w:eastAsia="en-CA"/>
              </w:rPr>
              <w:t>, coffee/</w:t>
            </w:r>
            <w:r w:rsidR="000627AF">
              <w:rPr>
                <w:rFonts w:eastAsia="Times New Roman" w:cs="Times New Roman"/>
                <w:sz w:val="24"/>
                <w:szCs w:val="24"/>
                <w:lang w:eastAsia="en-CA"/>
              </w:rPr>
              <w:t xml:space="preserve"> </w:t>
            </w:r>
            <w:r w:rsidR="007E42E2">
              <w:rPr>
                <w:rFonts w:eastAsia="Times New Roman" w:cs="Times New Roman"/>
                <w:sz w:val="24"/>
                <w:szCs w:val="24"/>
                <w:lang w:eastAsia="en-CA"/>
              </w:rPr>
              <w:t xml:space="preserve">beverages and snacks as well as </w:t>
            </w:r>
            <w:r w:rsidR="00426BAF" w:rsidRPr="00D04B8D">
              <w:rPr>
                <w:rFonts w:eastAsia="Times New Roman" w:cs="Times New Roman"/>
                <w:sz w:val="24"/>
                <w:szCs w:val="24"/>
                <w:lang w:eastAsia="en-CA"/>
              </w:rPr>
              <w:t xml:space="preserve">Optional Meet and Greet </w:t>
            </w:r>
            <w:r w:rsidR="007E42E2">
              <w:rPr>
                <w:rFonts w:eastAsia="Times New Roman" w:cs="Times New Roman"/>
                <w:sz w:val="24"/>
                <w:szCs w:val="24"/>
                <w:lang w:eastAsia="en-CA"/>
              </w:rPr>
              <w:t>Tuesday</w:t>
            </w:r>
            <w:r w:rsidR="00426BAF" w:rsidRPr="00D04B8D">
              <w:rPr>
                <w:rFonts w:eastAsia="Times New Roman" w:cs="Times New Roman"/>
                <w:sz w:val="24"/>
                <w:szCs w:val="24"/>
                <w:lang w:eastAsia="en-CA"/>
              </w:rPr>
              <w:t xml:space="preserve"> after </w:t>
            </w:r>
            <w:r w:rsidR="007E42E2">
              <w:rPr>
                <w:rFonts w:eastAsia="Times New Roman" w:cs="Times New Roman"/>
                <w:sz w:val="24"/>
                <w:szCs w:val="24"/>
                <w:lang w:eastAsia="en-CA"/>
              </w:rPr>
              <w:t>second</w:t>
            </w:r>
            <w:r w:rsidR="00426BAF" w:rsidRPr="00D04B8D">
              <w:rPr>
                <w:rFonts w:eastAsia="Times New Roman" w:cs="Times New Roman"/>
                <w:sz w:val="24"/>
                <w:szCs w:val="24"/>
                <w:lang w:eastAsia="en-CA"/>
              </w:rPr>
              <w:t xml:space="preserve"> day of classes.</w:t>
            </w:r>
          </w:p>
        </w:tc>
      </w:tr>
      <w:tr w:rsidR="00426BAF" w:rsidRPr="00D04B8D" w:rsidTr="003A2BBD">
        <w:tc>
          <w:tcPr>
            <w:tcW w:w="1028" w:type="pct"/>
            <w:tcMar>
              <w:top w:w="75" w:type="dxa"/>
              <w:left w:w="75" w:type="dxa"/>
              <w:bottom w:w="75" w:type="dxa"/>
              <w:right w:w="75" w:type="dxa"/>
            </w:tcMar>
            <w:hideMark/>
          </w:tcPr>
          <w:p w:rsidR="00426BAF" w:rsidRPr="00D04B8D" w:rsidRDefault="00426BAF" w:rsidP="00426BAF">
            <w:pPr>
              <w:spacing w:after="0" w:line="240" w:lineRule="auto"/>
              <w:rPr>
                <w:rFonts w:eastAsia="Times New Roman" w:cs="Times New Roman"/>
                <w:sz w:val="24"/>
                <w:szCs w:val="24"/>
                <w:lang w:eastAsia="en-CA"/>
              </w:rPr>
            </w:pPr>
            <w:r w:rsidRPr="00D04B8D">
              <w:rPr>
                <w:rFonts w:eastAsia="Times New Roman" w:cs="Times New Roman"/>
                <w:b/>
                <w:bCs/>
                <w:color w:val="000000"/>
                <w:sz w:val="24"/>
                <w:szCs w:val="24"/>
                <w:lang w:eastAsia="en-CA"/>
              </w:rPr>
              <w:t>Venue</w:t>
            </w:r>
          </w:p>
        </w:tc>
        <w:tc>
          <w:tcPr>
            <w:tcW w:w="3972" w:type="pct"/>
            <w:tcMar>
              <w:top w:w="75" w:type="dxa"/>
              <w:left w:w="75" w:type="dxa"/>
              <w:bottom w:w="75" w:type="dxa"/>
              <w:right w:w="75" w:type="dxa"/>
            </w:tcMar>
            <w:hideMark/>
          </w:tcPr>
          <w:p w:rsidR="00426BAF" w:rsidRPr="00D04B8D" w:rsidRDefault="00426BAF" w:rsidP="00426BAF">
            <w:pPr>
              <w:spacing w:after="0" w:line="240" w:lineRule="auto"/>
              <w:rPr>
                <w:rFonts w:eastAsia="Times New Roman" w:cs="Times New Roman"/>
                <w:sz w:val="24"/>
                <w:szCs w:val="24"/>
                <w:lang w:eastAsia="en-CA"/>
              </w:rPr>
            </w:pPr>
            <w:r w:rsidRPr="00D04B8D">
              <w:rPr>
                <w:rFonts w:eastAsia="Times New Roman" w:cs="Times New Roman"/>
                <w:sz w:val="24"/>
                <w:szCs w:val="24"/>
                <w:lang w:eastAsia="en-CA"/>
              </w:rPr>
              <w:t xml:space="preserve">World Exchange Plaza, </w:t>
            </w:r>
            <w:r w:rsidR="00323A1F">
              <w:rPr>
                <w:rFonts w:eastAsia="Times New Roman" w:cs="Times New Roman"/>
                <w:sz w:val="24"/>
                <w:szCs w:val="24"/>
                <w:lang w:eastAsia="en-CA"/>
              </w:rPr>
              <w:t xml:space="preserve">45 O’Connor Street Tower, </w:t>
            </w:r>
            <w:r w:rsidRPr="00D04B8D">
              <w:rPr>
                <w:rFonts w:eastAsia="Times New Roman" w:cs="Times New Roman"/>
                <w:sz w:val="24"/>
                <w:szCs w:val="24"/>
                <w:lang w:eastAsia="en-CA"/>
              </w:rPr>
              <w:t>Ottawa, Ontario</w:t>
            </w:r>
          </w:p>
        </w:tc>
      </w:tr>
      <w:tr w:rsidR="00426BAF" w:rsidRPr="00D04B8D" w:rsidTr="003A2BBD">
        <w:tc>
          <w:tcPr>
            <w:tcW w:w="1028" w:type="pct"/>
            <w:tcMar>
              <w:top w:w="75" w:type="dxa"/>
              <w:left w:w="75" w:type="dxa"/>
              <w:bottom w:w="75" w:type="dxa"/>
              <w:right w:w="75" w:type="dxa"/>
            </w:tcMar>
            <w:hideMark/>
          </w:tcPr>
          <w:p w:rsidR="00426BAF" w:rsidRPr="00D04B8D" w:rsidRDefault="00426BAF" w:rsidP="00426BAF">
            <w:pPr>
              <w:spacing w:after="0" w:line="240" w:lineRule="auto"/>
              <w:rPr>
                <w:rFonts w:ascii="Times New Roman" w:eastAsia="Times New Roman" w:hAnsi="Times New Roman" w:cs="Times New Roman"/>
                <w:sz w:val="24"/>
                <w:szCs w:val="24"/>
                <w:lang w:eastAsia="en-CA"/>
              </w:rPr>
            </w:pPr>
            <w:r w:rsidRPr="00D04B8D">
              <w:rPr>
                <w:rFonts w:ascii="Times New Roman" w:eastAsia="Times New Roman" w:hAnsi="Times New Roman" w:cs="Times New Roman"/>
                <w:b/>
                <w:bCs/>
                <w:color w:val="000000"/>
                <w:sz w:val="24"/>
                <w:szCs w:val="24"/>
                <w:lang w:eastAsia="en-CA"/>
              </w:rPr>
              <w:t>Application To Attend</w:t>
            </w:r>
          </w:p>
        </w:tc>
        <w:tc>
          <w:tcPr>
            <w:tcW w:w="3972" w:type="pct"/>
            <w:tcMar>
              <w:top w:w="75" w:type="dxa"/>
              <w:left w:w="75" w:type="dxa"/>
              <w:bottom w:w="75" w:type="dxa"/>
              <w:right w:w="75" w:type="dxa"/>
            </w:tcMar>
            <w:hideMark/>
          </w:tcPr>
          <w:p w:rsidR="00426BAF" w:rsidRDefault="007C6B0F" w:rsidP="00426BAF">
            <w:pPr>
              <w:spacing w:after="0" w:line="240" w:lineRule="auto"/>
              <w:rPr>
                <w:rFonts w:ascii="Times New Roman" w:eastAsia="Times New Roman" w:hAnsi="Times New Roman" w:cs="Times New Roman"/>
                <w:color w:val="800080"/>
                <w:sz w:val="24"/>
                <w:szCs w:val="24"/>
                <w:u w:val="single"/>
                <w:lang w:eastAsia="en-CA"/>
              </w:rPr>
            </w:pPr>
            <w:r w:rsidRPr="00D04B8D">
              <w:rPr>
                <w:rFonts w:ascii="Times New Roman" w:eastAsia="Times New Roman" w:hAnsi="Times New Roman" w:cs="Times New Roman"/>
                <w:color w:val="800080"/>
                <w:sz w:val="24"/>
                <w:szCs w:val="24"/>
                <w:u w:val="single"/>
                <w:lang w:eastAsia="en-CA"/>
              </w:rPr>
              <w:t>Link to online registration</w:t>
            </w:r>
          </w:p>
          <w:p w:rsidR="007C6B0F" w:rsidRPr="00D04B8D" w:rsidRDefault="00323A1F" w:rsidP="007C6B0F">
            <w:pPr>
              <w:spacing w:after="0" w:line="240" w:lineRule="auto"/>
              <w:rPr>
                <w:rFonts w:ascii="Times New Roman" w:eastAsia="Times New Roman" w:hAnsi="Times New Roman" w:cs="Times New Roman"/>
                <w:sz w:val="24"/>
                <w:szCs w:val="24"/>
                <w:lang w:eastAsia="en-CA"/>
              </w:rPr>
            </w:pPr>
            <w:hyperlink r:id="rId7" w:history="1">
              <w:r w:rsidR="003A2BBD" w:rsidRPr="00E37427">
                <w:rPr>
                  <w:rStyle w:val="Hyperlink"/>
                  <w:rFonts w:ascii="Times New Roman" w:eastAsia="Times New Roman" w:hAnsi="Times New Roman" w:cs="Times New Roman"/>
                  <w:szCs w:val="24"/>
                  <w:lang w:eastAsia="en-CA"/>
                </w:rPr>
                <w:t>https://www.snapuptickets.com/events/detail/2018-afcea-it-security-course</w:t>
              </w:r>
            </w:hyperlink>
            <w:r w:rsidR="007D307B">
              <w:rPr>
                <w:rFonts w:ascii="Times New Roman" w:eastAsia="Times New Roman" w:hAnsi="Times New Roman" w:cs="Times New Roman"/>
                <w:color w:val="800080"/>
                <w:sz w:val="24"/>
                <w:szCs w:val="24"/>
                <w:u w:val="single"/>
                <w:lang w:eastAsia="en-CA"/>
              </w:rPr>
              <w:br/>
            </w:r>
            <w:r w:rsidR="007C6B0F" w:rsidRPr="007D307B">
              <w:rPr>
                <w:rFonts w:ascii="Times New Roman" w:eastAsia="Times New Roman" w:hAnsi="Times New Roman" w:cs="Times New Roman"/>
                <w:b/>
                <w:sz w:val="18"/>
                <w:szCs w:val="24"/>
                <w:lang w:eastAsia="en-CA"/>
              </w:rPr>
              <w:t>*student information form sent after online registration complete</w:t>
            </w:r>
          </w:p>
        </w:tc>
      </w:tr>
      <w:tr w:rsidR="00426BAF" w:rsidRPr="00D04B8D" w:rsidTr="003A2BBD">
        <w:tc>
          <w:tcPr>
            <w:tcW w:w="1028" w:type="pct"/>
            <w:tcMar>
              <w:top w:w="75" w:type="dxa"/>
              <w:left w:w="75" w:type="dxa"/>
              <w:bottom w:w="75" w:type="dxa"/>
              <w:right w:w="75" w:type="dxa"/>
            </w:tcMar>
            <w:hideMark/>
          </w:tcPr>
          <w:p w:rsidR="00426BAF" w:rsidRPr="00D04B8D" w:rsidRDefault="00426BAF" w:rsidP="00426BAF">
            <w:pPr>
              <w:spacing w:after="0" w:line="240" w:lineRule="auto"/>
              <w:rPr>
                <w:rFonts w:ascii="Times New Roman" w:eastAsia="Times New Roman" w:hAnsi="Times New Roman" w:cs="Times New Roman"/>
                <w:sz w:val="24"/>
                <w:szCs w:val="24"/>
                <w:lang w:eastAsia="en-CA"/>
              </w:rPr>
            </w:pPr>
            <w:r w:rsidRPr="00D04B8D">
              <w:rPr>
                <w:rFonts w:ascii="Times New Roman" w:eastAsia="Times New Roman" w:hAnsi="Times New Roman" w:cs="Times New Roman"/>
                <w:b/>
                <w:bCs/>
                <w:color w:val="000000"/>
                <w:sz w:val="24"/>
                <w:szCs w:val="24"/>
                <w:lang w:eastAsia="en-CA"/>
              </w:rPr>
              <w:t>Accommodations for out of town students</w:t>
            </w:r>
          </w:p>
        </w:tc>
        <w:tc>
          <w:tcPr>
            <w:tcW w:w="3972" w:type="pct"/>
            <w:tcMar>
              <w:top w:w="75" w:type="dxa"/>
              <w:left w:w="75" w:type="dxa"/>
              <w:bottom w:w="75" w:type="dxa"/>
              <w:right w:w="75" w:type="dxa"/>
            </w:tcMar>
            <w:hideMark/>
          </w:tcPr>
          <w:p w:rsidR="00426BAF" w:rsidRPr="00D04B8D" w:rsidRDefault="00426BAF" w:rsidP="00426BAF">
            <w:pPr>
              <w:spacing w:after="300" w:line="240" w:lineRule="auto"/>
              <w:rPr>
                <w:rFonts w:ascii="Times New Roman" w:eastAsia="Times New Roman" w:hAnsi="Times New Roman" w:cs="Times New Roman"/>
                <w:sz w:val="24"/>
                <w:szCs w:val="24"/>
                <w:lang w:eastAsia="en-CA"/>
              </w:rPr>
            </w:pPr>
            <w:r w:rsidRPr="00D04B8D">
              <w:rPr>
                <w:rFonts w:ascii="Times New Roman" w:eastAsia="Times New Roman" w:hAnsi="Times New Roman" w:cs="Times New Roman"/>
                <w:sz w:val="24"/>
                <w:szCs w:val="24"/>
                <w:lang w:eastAsia="en-CA"/>
              </w:rPr>
              <w:t>Accommodations for out of town students is the responsibility of the student. There are several hotels in the area but our hotel of choice is the ARC Hotel. </w:t>
            </w:r>
            <w:bookmarkStart w:id="0" w:name="_GoBack"/>
            <w:bookmarkEnd w:id="0"/>
          </w:p>
        </w:tc>
      </w:tr>
      <w:tr w:rsidR="00426BAF" w:rsidRPr="00D04B8D" w:rsidTr="003A2BBD">
        <w:tc>
          <w:tcPr>
            <w:tcW w:w="1028" w:type="pct"/>
            <w:tcMar>
              <w:top w:w="75" w:type="dxa"/>
              <w:left w:w="75" w:type="dxa"/>
              <w:bottom w:w="75" w:type="dxa"/>
              <w:right w:w="75" w:type="dxa"/>
            </w:tcMar>
            <w:hideMark/>
          </w:tcPr>
          <w:p w:rsidR="00426BAF" w:rsidRPr="00D04B8D" w:rsidRDefault="00426BAF" w:rsidP="00426BAF">
            <w:pPr>
              <w:spacing w:after="0" w:line="240" w:lineRule="auto"/>
              <w:rPr>
                <w:rFonts w:ascii="Times New Roman" w:eastAsia="Times New Roman" w:hAnsi="Times New Roman" w:cs="Times New Roman"/>
                <w:sz w:val="24"/>
                <w:szCs w:val="24"/>
                <w:lang w:eastAsia="en-CA"/>
              </w:rPr>
            </w:pPr>
            <w:r w:rsidRPr="00D04B8D">
              <w:rPr>
                <w:rFonts w:ascii="Times New Roman" w:eastAsia="Times New Roman" w:hAnsi="Times New Roman" w:cs="Times New Roman"/>
                <w:b/>
                <w:bCs/>
                <w:color w:val="000000"/>
                <w:sz w:val="24"/>
                <w:szCs w:val="24"/>
                <w:lang w:eastAsia="en-CA"/>
              </w:rPr>
              <w:t>Contact</w:t>
            </w:r>
          </w:p>
        </w:tc>
        <w:tc>
          <w:tcPr>
            <w:tcW w:w="3972" w:type="pct"/>
            <w:tcMar>
              <w:top w:w="75" w:type="dxa"/>
              <w:left w:w="75" w:type="dxa"/>
              <w:bottom w:w="75" w:type="dxa"/>
              <w:right w:w="75" w:type="dxa"/>
            </w:tcMar>
            <w:hideMark/>
          </w:tcPr>
          <w:p w:rsidR="00426BAF" w:rsidRPr="00D04B8D" w:rsidRDefault="00323A1F" w:rsidP="00426BAF">
            <w:pPr>
              <w:spacing w:after="0" w:line="240" w:lineRule="auto"/>
              <w:rPr>
                <w:rFonts w:ascii="Times New Roman" w:eastAsia="Times New Roman" w:hAnsi="Times New Roman" w:cs="Times New Roman"/>
                <w:sz w:val="24"/>
                <w:szCs w:val="24"/>
                <w:lang w:val="fr-CA" w:eastAsia="en-CA"/>
              </w:rPr>
            </w:pPr>
            <w:hyperlink r:id="rId8" w:history="1">
              <w:r w:rsidR="00426BAF" w:rsidRPr="00D04B8D">
                <w:rPr>
                  <w:rFonts w:ascii="Times New Roman" w:eastAsia="Times New Roman" w:hAnsi="Times New Roman" w:cs="Times New Roman"/>
                  <w:color w:val="800080"/>
                  <w:sz w:val="24"/>
                  <w:szCs w:val="24"/>
                  <w:u w:val="single"/>
                  <w:lang w:val="fr-CA" w:eastAsia="en-CA"/>
                </w:rPr>
                <w:t>afceaottawa@afceachapters.org</w:t>
              </w:r>
            </w:hyperlink>
          </w:p>
        </w:tc>
      </w:tr>
    </w:tbl>
    <w:p w:rsidR="005C6633" w:rsidRPr="00426BAF" w:rsidRDefault="00323A1F" w:rsidP="003A2BBD">
      <w:pPr>
        <w:rPr>
          <w:lang w:val="fr-CA"/>
        </w:rPr>
      </w:pPr>
    </w:p>
    <w:sectPr w:rsidR="005C6633" w:rsidRPr="00426B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71817"/>
    <w:multiLevelType w:val="multilevel"/>
    <w:tmpl w:val="D514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53178B"/>
    <w:multiLevelType w:val="multilevel"/>
    <w:tmpl w:val="C84C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BAF"/>
    <w:rsid w:val="000627AF"/>
    <w:rsid w:val="000E0E3B"/>
    <w:rsid w:val="00232FCB"/>
    <w:rsid w:val="00241499"/>
    <w:rsid w:val="00317677"/>
    <w:rsid w:val="00323A1F"/>
    <w:rsid w:val="003A2BBD"/>
    <w:rsid w:val="00426BAF"/>
    <w:rsid w:val="00556081"/>
    <w:rsid w:val="00681AC6"/>
    <w:rsid w:val="0077171C"/>
    <w:rsid w:val="007B3AE9"/>
    <w:rsid w:val="007C6B0F"/>
    <w:rsid w:val="007D307B"/>
    <w:rsid w:val="007E42E2"/>
    <w:rsid w:val="0082230E"/>
    <w:rsid w:val="008D04C2"/>
    <w:rsid w:val="00A552FF"/>
    <w:rsid w:val="00D04B8D"/>
    <w:rsid w:val="00D67C9D"/>
    <w:rsid w:val="00DF103A"/>
    <w:rsid w:val="00E35E20"/>
    <w:rsid w:val="00F30C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D857"/>
  <w15:chartTrackingRefBased/>
  <w15:docId w15:val="{D0BD3FE1-002D-456A-B785-14A0651E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26B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BAF"/>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426BA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26BAF"/>
    <w:rPr>
      <w:b/>
      <w:bCs/>
    </w:rPr>
  </w:style>
  <w:style w:type="character" w:styleId="Hyperlink">
    <w:name w:val="Hyperlink"/>
    <w:basedOn w:val="DefaultParagraphFont"/>
    <w:uiPriority w:val="99"/>
    <w:unhideWhenUsed/>
    <w:rsid w:val="00426BAF"/>
    <w:rPr>
      <w:color w:val="0000FF"/>
      <w:u w:val="single"/>
    </w:rPr>
  </w:style>
  <w:style w:type="paragraph" w:styleId="ListParagraph">
    <w:name w:val="List Paragraph"/>
    <w:basedOn w:val="Normal"/>
    <w:uiPriority w:val="34"/>
    <w:qFormat/>
    <w:rsid w:val="007C6B0F"/>
    <w:pPr>
      <w:ind w:left="720"/>
      <w:contextualSpacing/>
    </w:pPr>
  </w:style>
  <w:style w:type="character" w:styleId="Mention">
    <w:name w:val="Mention"/>
    <w:basedOn w:val="DefaultParagraphFont"/>
    <w:uiPriority w:val="99"/>
    <w:semiHidden/>
    <w:unhideWhenUsed/>
    <w:rsid w:val="007D307B"/>
    <w:rPr>
      <w:color w:val="2B579A"/>
      <w:shd w:val="clear" w:color="auto" w:fill="E6E6E6"/>
    </w:rPr>
  </w:style>
  <w:style w:type="character" w:styleId="UnresolvedMention">
    <w:name w:val="Unresolved Mention"/>
    <w:basedOn w:val="DefaultParagraphFont"/>
    <w:uiPriority w:val="99"/>
    <w:semiHidden/>
    <w:unhideWhenUsed/>
    <w:rsid w:val="003A2B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1300">
      <w:bodyDiv w:val="1"/>
      <w:marLeft w:val="0"/>
      <w:marRight w:val="0"/>
      <w:marTop w:val="0"/>
      <w:marBottom w:val="0"/>
      <w:divBdr>
        <w:top w:val="none" w:sz="0" w:space="0" w:color="auto"/>
        <w:left w:val="none" w:sz="0" w:space="0" w:color="auto"/>
        <w:bottom w:val="none" w:sz="0" w:space="0" w:color="auto"/>
        <w:right w:val="none" w:sz="0" w:space="0" w:color="auto"/>
      </w:divBdr>
      <w:divsChild>
        <w:div w:id="1971009378">
          <w:marLeft w:val="0"/>
          <w:marRight w:val="0"/>
          <w:marTop w:val="0"/>
          <w:marBottom w:val="0"/>
          <w:divBdr>
            <w:top w:val="none" w:sz="0" w:space="0" w:color="auto"/>
            <w:left w:val="none" w:sz="0" w:space="0" w:color="auto"/>
            <w:bottom w:val="none" w:sz="0" w:space="0" w:color="auto"/>
            <w:right w:val="none" w:sz="0" w:space="0" w:color="auto"/>
          </w:divBdr>
          <w:divsChild>
            <w:div w:id="642664356">
              <w:marLeft w:val="0"/>
              <w:marRight w:val="0"/>
              <w:marTop w:val="0"/>
              <w:marBottom w:val="0"/>
              <w:divBdr>
                <w:top w:val="none" w:sz="0" w:space="0" w:color="auto"/>
                <w:left w:val="none" w:sz="0" w:space="0" w:color="auto"/>
                <w:bottom w:val="none" w:sz="0" w:space="0" w:color="auto"/>
                <w:right w:val="none" w:sz="0" w:space="0" w:color="auto"/>
              </w:divBdr>
              <w:divsChild>
                <w:div w:id="426191155">
                  <w:marLeft w:val="0"/>
                  <w:marRight w:val="0"/>
                  <w:marTop w:val="0"/>
                  <w:marBottom w:val="0"/>
                  <w:divBdr>
                    <w:top w:val="none" w:sz="0" w:space="0" w:color="auto"/>
                    <w:left w:val="none" w:sz="0" w:space="0" w:color="auto"/>
                    <w:bottom w:val="none" w:sz="0" w:space="0" w:color="auto"/>
                    <w:right w:val="none" w:sz="0" w:space="0" w:color="auto"/>
                  </w:divBdr>
                  <w:divsChild>
                    <w:div w:id="1904484708">
                      <w:marLeft w:val="0"/>
                      <w:marRight w:val="0"/>
                      <w:marTop w:val="0"/>
                      <w:marBottom w:val="0"/>
                      <w:divBdr>
                        <w:top w:val="none" w:sz="0" w:space="0" w:color="auto"/>
                        <w:left w:val="none" w:sz="0" w:space="0" w:color="auto"/>
                        <w:bottom w:val="none" w:sz="0" w:space="0" w:color="auto"/>
                        <w:right w:val="none" w:sz="0" w:space="0" w:color="auto"/>
                      </w:divBdr>
                      <w:divsChild>
                        <w:div w:id="995648915">
                          <w:marLeft w:val="0"/>
                          <w:marRight w:val="0"/>
                          <w:marTop w:val="0"/>
                          <w:marBottom w:val="0"/>
                          <w:divBdr>
                            <w:top w:val="none" w:sz="0" w:space="0" w:color="auto"/>
                            <w:left w:val="none" w:sz="0" w:space="0" w:color="auto"/>
                            <w:bottom w:val="none" w:sz="0" w:space="0" w:color="auto"/>
                            <w:right w:val="none" w:sz="0" w:space="0" w:color="auto"/>
                          </w:divBdr>
                          <w:divsChild>
                            <w:div w:id="20092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ceaottawa@afceachapters.org" TargetMode="External"/><Relationship Id="rId3" Type="http://schemas.openxmlformats.org/officeDocument/2006/relationships/settings" Target="settings.xml"/><Relationship Id="rId7" Type="http://schemas.openxmlformats.org/officeDocument/2006/relationships/hyperlink" Target="https://www.snapuptickets.com/events/detail/2018-afcea-it-security-cou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QUINN</dc:creator>
  <cp:keywords/>
  <dc:description/>
  <cp:lastModifiedBy>Stewart-Belisle, K.</cp:lastModifiedBy>
  <cp:revision>5</cp:revision>
  <dcterms:created xsi:type="dcterms:W3CDTF">2018-08-28T13:27:00Z</dcterms:created>
  <dcterms:modified xsi:type="dcterms:W3CDTF">2018-09-10T16:53:00Z</dcterms:modified>
</cp:coreProperties>
</file>